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7DC4B" w14:textId="5A3F4718" w:rsidR="00DF091D" w:rsidRDefault="00DF091D" w:rsidP="00DF091D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807694">
        <w:rPr>
          <w:rFonts w:eastAsia="宋体" w:cs="Arial"/>
          <w:b/>
          <w:sz w:val="24"/>
          <w:szCs w:val="24"/>
          <w:lang w:val="en-GB" w:eastAsia="zh-CN"/>
        </w:rPr>
        <w:t>3GPP TSG-RAN WG4 Meeting # 106bis</w:t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995AEF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</w:t>
      </w:r>
      <w:bookmarkStart w:id="1" w:name="_GoBack"/>
      <w:bookmarkEnd w:id="1"/>
      <w:r w:rsidR="00995AEF" w:rsidRPr="00995AEF">
        <w:rPr>
          <w:rFonts w:eastAsia="宋体" w:cs="Arial"/>
          <w:b/>
          <w:sz w:val="24"/>
          <w:szCs w:val="24"/>
          <w:lang w:val="en-GB" w:eastAsia="zh-CN"/>
        </w:rPr>
        <w:t>R4-2305231</w:t>
      </w:r>
    </w:p>
    <w:bookmarkEnd w:id="0"/>
    <w:p w14:paraId="2C5B03FC" w14:textId="77777777" w:rsidR="00DF091D" w:rsidRPr="00062030" w:rsidRDefault="00DF091D" w:rsidP="00DF091D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3AB4B31D" w14:textId="09133D77" w:rsidR="00DF091D" w:rsidRPr="00462983" w:rsidRDefault="00DF091D" w:rsidP="00DF091D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2"/>
        </w:rPr>
      </w:pPr>
      <w:r w:rsidRPr="00462983">
        <w:rPr>
          <w:rFonts w:ascii="Times New Roman" w:eastAsia="宋体" w:hAnsi="Times New Roman" w:cs="Times New Roman"/>
          <w:b/>
          <w:sz w:val="22"/>
        </w:rPr>
        <w:t>Agenda Item:</w:t>
      </w:r>
      <w:r w:rsidRPr="00462983">
        <w:rPr>
          <w:rFonts w:ascii="Times New Roman" w:eastAsia="宋体" w:hAnsi="Times New Roman" w:cs="Times New Roman"/>
          <w:b/>
          <w:sz w:val="22"/>
        </w:rPr>
        <w:tab/>
      </w:r>
      <w:r w:rsidRPr="00462983">
        <w:rPr>
          <w:rFonts w:ascii="Times New Roman" w:hAnsi="Times New Roman" w:cs="Times New Roman"/>
          <w:b/>
          <w:sz w:val="22"/>
          <w:lang w:eastAsia="ja-JP"/>
        </w:rPr>
        <w:t>5.8.3.5</w:t>
      </w:r>
    </w:p>
    <w:p w14:paraId="57DB46B7" w14:textId="77777777" w:rsidR="00CC5B11" w:rsidRPr="00462983" w:rsidRDefault="00CC5B11" w:rsidP="00B24FAA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2"/>
          <w:lang w:eastAsia="ja-JP"/>
        </w:rPr>
      </w:pPr>
      <w:r w:rsidRPr="00462983">
        <w:rPr>
          <w:rFonts w:ascii="Times New Roman" w:hAnsi="Times New Roman" w:cs="Times New Roman"/>
          <w:b/>
          <w:sz w:val="22"/>
        </w:rPr>
        <w:t xml:space="preserve">Source: </w:t>
      </w:r>
      <w:r w:rsidRPr="00462983">
        <w:rPr>
          <w:rFonts w:ascii="Times New Roman" w:hAnsi="Times New Roman" w:cs="Times New Roman"/>
          <w:b/>
          <w:sz w:val="22"/>
        </w:rPr>
        <w:tab/>
        <w:t>OPPO</w:t>
      </w:r>
    </w:p>
    <w:p w14:paraId="1234CEC6" w14:textId="1EBED71E" w:rsidR="00CC5B11" w:rsidRPr="00462983" w:rsidRDefault="00CC5B11" w:rsidP="00B24FAA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2"/>
        </w:rPr>
      </w:pPr>
      <w:r w:rsidRPr="00462983">
        <w:rPr>
          <w:rFonts w:ascii="Times New Roman" w:hAnsi="Times New Roman" w:cs="Times New Roman"/>
          <w:b/>
          <w:sz w:val="22"/>
        </w:rPr>
        <w:t>Title:</w:t>
      </w:r>
      <w:r w:rsidRPr="00462983">
        <w:rPr>
          <w:rFonts w:ascii="Times New Roman" w:hAnsi="Times New Roman" w:cs="Times New Roman"/>
          <w:sz w:val="22"/>
        </w:rPr>
        <w:t xml:space="preserve"> </w:t>
      </w:r>
      <w:r w:rsidRPr="00462983">
        <w:rPr>
          <w:rFonts w:ascii="Times New Roman" w:hAnsi="Times New Roman" w:cs="Times New Roman"/>
          <w:sz w:val="22"/>
        </w:rPr>
        <w:tab/>
      </w:r>
      <w:r w:rsidR="00274DEB" w:rsidRPr="00462983">
        <w:rPr>
          <w:rFonts w:ascii="Times New Roman" w:hAnsi="Times New Roman" w:cs="Times New Roman"/>
          <w:b/>
          <w:sz w:val="22"/>
          <w:lang w:eastAsia="ja-JP"/>
        </w:rPr>
        <w:t>O</w:t>
      </w:r>
      <w:r w:rsidR="0082164E" w:rsidRPr="00462983">
        <w:rPr>
          <w:rFonts w:ascii="Times New Roman" w:hAnsi="Times New Roman" w:cs="Times New Roman"/>
          <w:b/>
          <w:sz w:val="22"/>
          <w:lang w:eastAsia="ja-JP"/>
        </w:rPr>
        <w:t xml:space="preserve">n </w:t>
      </w:r>
      <w:r w:rsidR="00851739" w:rsidRPr="00462983">
        <w:rPr>
          <w:rFonts w:ascii="Times New Roman" w:hAnsi="Times New Roman" w:cs="Times New Roman"/>
          <w:b/>
          <w:sz w:val="22"/>
          <w:lang w:eastAsia="ja-JP"/>
        </w:rPr>
        <w:t>TCI state switching</w:t>
      </w:r>
      <w:r w:rsidR="0082164E" w:rsidRPr="00462983">
        <w:rPr>
          <w:rFonts w:ascii="Times New Roman" w:hAnsi="Times New Roman" w:cs="Times New Roman"/>
          <w:b/>
          <w:sz w:val="22"/>
          <w:lang w:eastAsia="ja-JP"/>
        </w:rPr>
        <w:t xml:space="preserve"> for FR2 </w:t>
      </w:r>
      <w:r w:rsidR="00851739" w:rsidRPr="00462983">
        <w:rPr>
          <w:rFonts w:ascii="Times New Roman" w:hAnsi="Times New Roman" w:cs="Times New Roman"/>
          <w:b/>
          <w:sz w:val="22"/>
          <w:lang w:eastAsia="ja-JP"/>
        </w:rPr>
        <w:t>multi-Rx DL</w:t>
      </w:r>
    </w:p>
    <w:p w14:paraId="0EED31D0" w14:textId="77777777" w:rsidR="00CC5B11" w:rsidRPr="00462983" w:rsidRDefault="00CC5B11" w:rsidP="00B24FAA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2"/>
        </w:rPr>
      </w:pPr>
      <w:r w:rsidRPr="00462983">
        <w:rPr>
          <w:rFonts w:ascii="Times New Roman" w:hAnsi="Times New Roman" w:cs="Times New Roman"/>
          <w:b/>
          <w:sz w:val="22"/>
        </w:rPr>
        <w:t>Document for:</w:t>
      </w:r>
      <w:r w:rsidRPr="00462983">
        <w:rPr>
          <w:rFonts w:ascii="Times New Roman" w:hAnsi="Times New Roman" w:cs="Times New Roman"/>
          <w:sz w:val="22"/>
        </w:rPr>
        <w:tab/>
      </w:r>
      <w:r w:rsidRPr="00462983">
        <w:rPr>
          <w:rFonts w:ascii="Times New Roman" w:hAnsi="Times New Roman" w:cs="Times New Roman"/>
          <w:b/>
          <w:sz w:val="22"/>
        </w:rPr>
        <w:t>Approval</w:t>
      </w:r>
    </w:p>
    <w:p w14:paraId="6D0B833A" w14:textId="77777777" w:rsidR="00973137" w:rsidRPr="00B24FAA" w:rsidRDefault="00625A35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1</w:t>
      </w:r>
      <w:r w:rsidRPr="00B24FAA">
        <w:rPr>
          <w:rFonts w:ascii="Times New Roman" w:hAnsi="Times New Roman"/>
        </w:rPr>
        <w:tab/>
        <w:t>Introduction</w:t>
      </w:r>
    </w:p>
    <w:p w14:paraId="626EB749" w14:textId="74A0D216" w:rsidR="0027408D" w:rsidRPr="00462983" w:rsidRDefault="0027408D" w:rsidP="00B24FAA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 w:rsidRPr="00462983">
        <w:rPr>
          <w:rFonts w:ascii="Times New Roman" w:hAnsi="Times New Roman" w:cs="Times New Roman"/>
          <w:sz w:val="21"/>
          <w:szCs w:val="21"/>
          <w:lang w:val="en-GB"/>
        </w:rPr>
        <w:t>A WF on Rel-18 FR2_multiRX_DL was approved in RAN4#10</w:t>
      </w:r>
      <w:r w:rsidR="00CB298E" w:rsidRPr="00462983">
        <w:rPr>
          <w:rFonts w:ascii="Times New Roman" w:hAnsi="Times New Roman" w:cs="Times New Roman"/>
          <w:sz w:val="21"/>
          <w:szCs w:val="21"/>
          <w:lang w:val="en-GB"/>
        </w:rPr>
        <w:t>6</w:t>
      </w:r>
      <w:r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 meeting [1].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</w:t>
      </w:r>
      <w:r w:rsidR="00F0082D" w:rsidRPr="00462983">
        <w:rPr>
          <w:rFonts w:ascii="Times New Roman" w:eastAsiaTheme="minorEastAsia" w:hAnsi="Times New Roman" w:cs="Times New Roman"/>
          <w:sz w:val="21"/>
          <w:szCs w:val="21"/>
          <w:lang w:val="en-GB"/>
        </w:rPr>
        <w:t>RAN4 agreed that dual TCI state switching requirements are defined for simultaneous reception.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6998" w:rsidRPr="00462983" w14:paraId="35715231" w14:textId="77777777" w:rsidTr="00B76998">
        <w:tc>
          <w:tcPr>
            <w:tcW w:w="9629" w:type="dxa"/>
          </w:tcPr>
          <w:p w14:paraId="548C2A82" w14:textId="77777777" w:rsidR="00CB298E" w:rsidRPr="00462983" w:rsidRDefault="00CB298E" w:rsidP="00CB298E">
            <w:pPr>
              <w:pStyle w:val="aff4"/>
              <w:overflowPunct w:val="0"/>
              <w:autoSpaceDE w:val="0"/>
              <w:autoSpaceDN w:val="0"/>
              <w:adjustRightInd w:val="0"/>
              <w:spacing w:after="120" w:line="252" w:lineRule="auto"/>
              <w:ind w:left="360"/>
              <w:rPr>
                <w:sz w:val="21"/>
                <w:szCs w:val="21"/>
                <w:highlight w:val="green"/>
                <w:lang w:eastAsia="ja-JP"/>
              </w:rPr>
            </w:pPr>
            <w:r w:rsidRPr="00462983">
              <w:rPr>
                <w:sz w:val="21"/>
                <w:szCs w:val="21"/>
                <w:highlight w:val="green"/>
                <w:lang w:eastAsia="ja-JP"/>
              </w:rPr>
              <w:t>Agreements in online session</w:t>
            </w:r>
          </w:p>
          <w:p w14:paraId="204793FF" w14:textId="77777777" w:rsidR="00CB298E" w:rsidRPr="00462983" w:rsidRDefault="00CB298E" w:rsidP="00CB298E">
            <w:pPr>
              <w:pStyle w:val="aff4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lang w:val="en-US" w:eastAsia="ja-JP"/>
              </w:rPr>
            </w:pPr>
            <w:r w:rsidRPr="00462983">
              <w:rPr>
                <w:rFonts w:eastAsia="Yu Mincho"/>
                <w:sz w:val="21"/>
                <w:szCs w:val="21"/>
                <w:lang w:val="en-US" w:eastAsia="ja-JP"/>
              </w:rPr>
              <w:t>Group Based Reporting and s/</w:t>
            </w:r>
            <w:proofErr w:type="spellStart"/>
            <w:r w:rsidRPr="00462983">
              <w:rPr>
                <w:rFonts w:eastAsia="Yu Mincho"/>
                <w:sz w:val="21"/>
                <w:szCs w:val="21"/>
                <w:lang w:val="en-US" w:eastAsia="ja-JP"/>
              </w:rPr>
              <w:t>mDCI</w:t>
            </w:r>
            <w:proofErr w:type="spellEnd"/>
          </w:p>
          <w:p w14:paraId="75055E26" w14:textId="77777777" w:rsidR="00CB298E" w:rsidRPr="00462983" w:rsidRDefault="00CB298E" w:rsidP="00CB298E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lang w:val="en-US" w:eastAsia="ja-JP"/>
              </w:rPr>
            </w:pPr>
            <w:r w:rsidRPr="00462983">
              <w:rPr>
                <w:color w:val="000000"/>
                <w:sz w:val="21"/>
                <w:szCs w:val="21"/>
                <w:lang w:val="en-US" w:eastAsia="zh-CN"/>
              </w:rPr>
              <w:t xml:space="preserve">Group based reporting applies to both </w:t>
            </w:r>
            <w:proofErr w:type="spellStart"/>
            <w:r w:rsidRPr="00462983">
              <w:rPr>
                <w:color w:val="000000"/>
                <w:sz w:val="21"/>
                <w:szCs w:val="21"/>
                <w:lang w:val="en-US" w:eastAsia="zh-CN"/>
              </w:rPr>
              <w:t>sDCI</w:t>
            </w:r>
            <w:proofErr w:type="spellEnd"/>
            <w:r w:rsidRPr="00462983">
              <w:rPr>
                <w:color w:val="000000"/>
                <w:sz w:val="21"/>
                <w:szCs w:val="21"/>
                <w:lang w:val="en-US" w:eastAsia="zh-CN"/>
              </w:rPr>
              <w:t xml:space="preserve"> and </w:t>
            </w:r>
            <w:proofErr w:type="spellStart"/>
            <w:r w:rsidRPr="00462983">
              <w:rPr>
                <w:color w:val="000000"/>
                <w:sz w:val="21"/>
                <w:szCs w:val="21"/>
                <w:lang w:val="en-US" w:eastAsia="zh-CN"/>
              </w:rPr>
              <w:t>mDCI</w:t>
            </w:r>
            <w:proofErr w:type="spellEnd"/>
          </w:p>
          <w:p w14:paraId="69F9C0B4" w14:textId="77777777" w:rsidR="00CB298E" w:rsidRPr="00462983" w:rsidRDefault="00CB298E" w:rsidP="00CB298E">
            <w:pPr>
              <w:pStyle w:val="aff4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highlight w:val="yellow"/>
                <w:lang w:val="en-US" w:eastAsia="ja-JP"/>
              </w:rPr>
            </w:pPr>
            <w:r w:rsidRPr="00462983">
              <w:rPr>
                <w:sz w:val="21"/>
                <w:szCs w:val="21"/>
                <w:highlight w:val="yellow"/>
                <w:lang w:val="en-US" w:eastAsia="ja-JP"/>
              </w:rPr>
              <w:t>Investigate and if needed specify requirements for the following TCI state switching scenarios</w:t>
            </w:r>
          </w:p>
          <w:p w14:paraId="2D629E9F" w14:textId="77777777" w:rsidR="00CB298E" w:rsidRPr="00462983" w:rsidRDefault="00CB298E" w:rsidP="00CB298E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highlight w:val="yellow"/>
                <w:lang w:eastAsia="ja-JP"/>
              </w:rPr>
            </w:pPr>
            <w:r w:rsidRPr="00462983">
              <w:rPr>
                <w:sz w:val="21"/>
                <w:szCs w:val="21"/>
                <w:highlight w:val="yellow"/>
                <w:lang w:eastAsia="ja-JP"/>
              </w:rPr>
              <w:t>single TCI to dual TCI</w:t>
            </w:r>
          </w:p>
          <w:p w14:paraId="3B6BFC73" w14:textId="77777777" w:rsidR="00CB298E" w:rsidRPr="00462983" w:rsidRDefault="00CB298E" w:rsidP="00CB298E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highlight w:val="yellow"/>
                <w:lang w:eastAsia="ja-JP"/>
              </w:rPr>
            </w:pPr>
            <w:r w:rsidRPr="00462983">
              <w:rPr>
                <w:sz w:val="21"/>
                <w:szCs w:val="21"/>
                <w:highlight w:val="yellow"/>
                <w:lang w:eastAsia="ja-JP"/>
              </w:rPr>
              <w:t>dual TCI to dual TCI</w:t>
            </w:r>
          </w:p>
          <w:p w14:paraId="38C09494" w14:textId="77777777" w:rsidR="00CB298E" w:rsidRPr="00462983" w:rsidRDefault="00CB298E" w:rsidP="00CB298E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highlight w:val="yellow"/>
                <w:lang w:eastAsia="ja-JP"/>
              </w:rPr>
            </w:pPr>
            <w:r w:rsidRPr="00462983">
              <w:rPr>
                <w:sz w:val="21"/>
                <w:szCs w:val="21"/>
                <w:highlight w:val="yellow"/>
                <w:lang w:eastAsia="ja-JP"/>
              </w:rPr>
              <w:t>dual TCI to single TCI</w:t>
            </w:r>
          </w:p>
          <w:p w14:paraId="4F10D293" w14:textId="77777777" w:rsidR="00CB298E" w:rsidRPr="00462983" w:rsidRDefault="00CB298E" w:rsidP="00CB298E">
            <w:pPr>
              <w:pStyle w:val="aff4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lang w:eastAsia="ja-JP"/>
              </w:rPr>
            </w:pPr>
            <w:r w:rsidRPr="00462983">
              <w:rPr>
                <w:rFonts w:eastAsia="Yu Mincho"/>
                <w:sz w:val="21"/>
                <w:szCs w:val="21"/>
                <w:lang w:eastAsia="ja-JP"/>
              </w:rPr>
              <w:t>TCI Switch triggering method:</w:t>
            </w:r>
          </w:p>
          <w:p w14:paraId="536B1EF4" w14:textId="77777777" w:rsidR="00CB298E" w:rsidRPr="00462983" w:rsidRDefault="00CB298E" w:rsidP="00CB298E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lang w:val="en-US" w:eastAsia="ja-JP"/>
              </w:rPr>
            </w:pPr>
            <w:r w:rsidRPr="00462983">
              <w:rPr>
                <w:sz w:val="21"/>
                <w:szCs w:val="21"/>
                <w:lang w:val="en-US" w:eastAsia="ja-JP"/>
              </w:rPr>
              <w:t>MAC-CE based dual TCI state switch for PDCCH reception</w:t>
            </w:r>
          </w:p>
          <w:p w14:paraId="4F8F5067" w14:textId="77777777" w:rsidR="00CB298E" w:rsidRPr="00462983" w:rsidRDefault="00CB298E" w:rsidP="00CB298E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lang w:val="en-US" w:eastAsia="ja-JP"/>
              </w:rPr>
            </w:pPr>
            <w:r w:rsidRPr="00462983">
              <w:rPr>
                <w:sz w:val="21"/>
                <w:szCs w:val="21"/>
                <w:lang w:val="en-US" w:eastAsia="ja-JP"/>
              </w:rPr>
              <w:t>DCI based dual TCI state switch for PDCSH reception</w:t>
            </w:r>
          </w:p>
          <w:p w14:paraId="6EFE8641" w14:textId="1C84E35B" w:rsidR="00B76998" w:rsidRPr="00462983" w:rsidRDefault="00CB298E" w:rsidP="00CB298E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1"/>
                <w:szCs w:val="21"/>
                <w:lang w:val="en-US" w:eastAsia="ja-JP"/>
              </w:rPr>
            </w:pPr>
            <w:r w:rsidRPr="00462983">
              <w:rPr>
                <w:sz w:val="21"/>
                <w:szCs w:val="21"/>
                <w:lang w:val="en-US" w:eastAsia="ja-JP"/>
              </w:rPr>
              <w:t>FFS RRC triggered TCI state configuration.</w:t>
            </w:r>
          </w:p>
        </w:tc>
      </w:tr>
    </w:tbl>
    <w:p w14:paraId="4C7A61E8" w14:textId="3DDA8165" w:rsidR="0027408D" w:rsidRPr="00462983" w:rsidRDefault="0027408D" w:rsidP="00B24FAA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In this contribution, we further discuss </w:t>
      </w:r>
      <w:r w:rsidR="00124422"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TCI state switching </w:t>
      </w:r>
      <w:r w:rsidR="00183E44" w:rsidRPr="00462983">
        <w:rPr>
          <w:rFonts w:ascii="Times New Roman" w:hAnsi="Times New Roman" w:cs="Times New Roman"/>
          <w:sz w:val="21"/>
          <w:szCs w:val="21"/>
          <w:lang w:val="en-GB"/>
        </w:rPr>
        <w:t>related</w:t>
      </w:r>
      <w:r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 RRM requirements for FR2 multi-Rx reception.</w:t>
      </w:r>
    </w:p>
    <w:p w14:paraId="0591687E" w14:textId="3680F054" w:rsidR="00973137" w:rsidRPr="00B24FAA" w:rsidRDefault="00625A35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2</w:t>
      </w:r>
      <w:r w:rsidRPr="00B24FAA">
        <w:rPr>
          <w:rFonts w:ascii="Times New Roman" w:hAnsi="Times New Roman"/>
        </w:rPr>
        <w:tab/>
      </w:r>
      <w:r w:rsidR="007D20D2" w:rsidRPr="00B24FAA">
        <w:rPr>
          <w:rFonts w:ascii="Times New Roman" w:hAnsi="Times New Roman"/>
        </w:rPr>
        <w:t>Discussion</w:t>
      </w:r>
    </w:p>
    <w:p w14:paraId="5D24EC6F" w14:textId="6C8F58D4" w:rsidR="00513098" w:rsidRPr="00462983" w:rsidRDefault="00513098" w:rsidP="00B24FAA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462983">
        <w:rPr>
          <w:rFonts w:ascii="Times New Roman" w:hAnsi="Times New Roman" w:cs="Times New Roman"/>
          <w:iCs/>
          <w:sz w:val="21"/>
          <w:szCs w:val="21"/>
        </w:rPr>
        <w:t xml:space="preserve">As background, different implementation scenarios are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</w:t>
      </w:r>
      <w:proofErr w:type="spellStart"/>
      <w:r w:rsidRPr="00462983">
        <w:rPr>
          <w:rFonts w:ascii="Times New Roman" w:hAnsi="Times New Roman" w:cs="Times New Roman"/>
          <w:iCs/>
          <w:sz w:val="21"/>
          <w:szCs w:val="21"/>
        </w:rPr>
        <w:t>mTRP</w:t>
      </w:r>
      <w:proofErr w:type="spellEnd"/>
      <w:r w:rsidRPr="00462983">
        <w:rPr>
          <w:rFonts w:ascii="Times New Roman" w:hAnsi="Times New Roman" w:cs="Times New Roman"/>
          <w:iCs/>
          <w:sz w:val="21"/>
          <w:szCs w:val="21"/>
        </w:rPr>
        <w:t xml:space="preserve"> framework even if the base station is actually deployed as a single TRP. Dual TCI is assumed to be high priority in this WI.</w:t>
      </w:r>
    </w:p>
    <w:p w14:paraId="547DFC12" w14:textId="07CD907D" w:rsidR="00D236ED" w:rsidRPr="00462983" w:rsidRDefault="002B42DC" w:rsidP="00B24FAA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462983">
        <w:rPr>
          <w:rFonts w:ascii="Times New Roman" w:hAnsi="Times New Roman" w:cs="Times New Roman"/>
          <w:iCs/>
          <w:sz w:val="21"/>
          <w:szCs w:val="21"/>
        </w:rPr>
        <w:t>As agreed in last meeting, dual TCI state switching requirements shall be based on Rel-15/Rel-16 TCI framework</w:t>
      </w:r>
      <w:r w:rsidR="00571036" w:rsidRPr="00462983">
        <w:rPr>
          <w:rFonts w:ascii="Times New Roman" w:hAnsi="Times New Roman" w:cs="Times New Roman"/>
          <w:iCs/>
          <w:sz w:val="21"/>
          <w:szCs w:val="21"/>
        </w:rPr>
        <w:t>.</w:t>
      </w:r>
      <w:r w:rsidR="00F7645A" w:rsidRPr="00462983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="00D236ED" w:rsidRPr="00462983">
        <w:rPr>
          <w:rFonts w:ascii="Times New Roman" w:hAnsi="Times New Roman" w:cs="Times New Roman"/>
          <w:iCs/>
          <w:sz w:val="21"/>
          <w:szCs w:val="21"/>
        </w:rPr>
        <w:t>Dual TCI state switching refers to the case when two active TCI states with QCL type D for simultaneous reception of PDCCH/PDSCH are involved before and/or after TCI switching command.</w:t>
      </w:r>
    </w:p>
    <w:p w14:paraId="5FFBC820" w14:textId="543C1750" w:rsidR="00A164BA" w:rsidRPr="00462983" w:rsidRDefault="00F138B9" w:rsidP="00B24FAA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</w:rPr>
        <w:t>The triggering conditions of dual TCI switch should be considered, e.g., one single RRC or MAC-CE triggered dual TCI switching, or different DCI</w:t>
      </w:r>
      <w:r w:rsidR="00513098" w:rsidRPr="00462983">
        <w:rPr>
          <w:rFonts w:ascii="Times New Roman" w:eastAsiaTheme="minorEastAsia" w:hAnsi="Times New Roman" w:cs="Times New Roman"/>
          <w:sz w:val="21"/>
          <w:szCs w:val="21"/>
        </w:rPr>
        <w:t>s</w:t>
      </w:r>
      <w:r w:rsidRPr="0046298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D236ED" w:rsidRPr="00462983">
        <w:rPr>
          <w:rFonts w:ascii="Times New Roman" w:eastAsiaTheme="minorEastAsia" w:hAnsi="Times New Roman" w:cs="Times New Roman"/>
          <w:sz w:val="21"/>
          <w:szCs w:val="21"/>
        </w:rPr>
        <w:t xml:space="preserve">or MAC-CE </w:t>
      </w:r>
      <w:r w:rsidRPr="00462983">
        <w:rPr>
          <w:rFonts w:ascii="Times New Roman" w:eastAsiaTheme="minorEastAsia" w:hAnsi="Times New Roman" w:cs="Times New Roman"/>
          <w:sz w:val="21"/>
          <w:szCs w:val="21"/>
        </w:rPr>
        <w:t xml:space="preserve">triggered dual TCI switching. </w:t>
      </w:r>
      <w:r w:rsidR="00513098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As listed in previous proposals, at least 8 cases can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occur for TCI state switch in dual TCI operation.</w:t>
      </w:r>
      <w:r w:rsidR="00513098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="00960454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In our view, we can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firstly</w:t>
      </w:r>
      <w:r w:rsidR="00960454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focus on 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the case that </w:t>
      </w:r>
      <w:r w:rsidR="00A164BA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both TCI states are changed</w:t>
      </w:r>
      <w:r w:rsidR="00D236ED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and </w:t>
      </w:r>
      <w:r w:rsidR="00D236ED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TCI states switch</w:t>
      </w:r>
      <w:r w:rsidR="00D236ED" w:rsidRPr="00462983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simultaneously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. </w:t>
      </w:r>
      <w:r w:rsidR="009F07B2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T</w:t>
      </w:r>
      <w:r w:rsidR="00941486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he transition of two TCI state and one TCI state</w:t>
      </w:r>
      <w:r w:rsidR="009F07B2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, can be considered at later stage.</w:t>
      </w:r>
    </w:p>
    <w:p w14:paraId="68359719" w14:textId="0FE22878" w:rsidR="009F07B2" w:rsidRPr="00462983" w:rsidRDefault="009F07B2" w:rsidP="00B24FAA">
      <w:p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1: </w:t>
      </w:r>
      <w:r w:rsid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Specify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Pr="00462983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simultaneous 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dual TCI states switchin</w:t>
      </w:r>
      <w:r w:rsidR="0058664B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g</w:t>
      </w:r>
      <w:r w:rsidR="004970F4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firstly</w:t>
      </w:r>
      <w:r w:rsid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462983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(e.g., dual TCI to dual TCI)</w:t>
      </w:r>
      <w:r w:rsidR="0058664B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.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4970F4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FFS the transition of two TCI states and one TCI state.</w:t>
      </w:r>
    </w:p>
    <w:p w14:paraId="78BF8ED9" w14:textId="11D96AA8" w:rsidR="00E3614F" w:rsidRPr="00462983" w:rsidRDefault="00C55ADF" w:rsidP="00B24FAA">
      <w:pPr>
        <w:spacing w:beforeLines="50" w:before="120" w:afterLines="50" w:after="12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lastRenderedPageBreak/>
        <w:t>W</w:t>
      </w:r>
      <w:r w:rsidR="00E3614F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e suggest the following principle</w:t>
      </w:r>
      <w:r w:rsidR="00BC14B2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s</w:t>
      </w:r>
      <w:r w:rsidR="00E3614F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for delay requirements defining:</w:t>
      </w:r>
    </w:p>
    <w:p w14:paraId="69B36767" w14:textId="77777777" w:rsidR="00C55ADF" w:rsidRPr="00462983" w:rsidRDefault="00E3614F" w:rsidP="00B24FAA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For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the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case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of Multiple DCI,</w:t>
      </w:r>
    </w:p>
    <w:p w14:paraId="19C52B7A" w14:textId="3E50139D" w:rsidR="00E3614F" w:rsidRPr="00462983" w:rsidRDefault="00E3614F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each TCI state is changed by independent procedure with different triggering commands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.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L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egacy requirements for each TCI state switching delay can be reused. </w:t>
      </w:r>
    </w:p>
    <w:p w14:paraId="210D391E" w14:textId="1354E787" w:rsidR="008C1ED6" w:rsidRPr="00462983" w:rsidRDefault="008C1ED6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The delay requirements for known and unknown TCI state should be treated separately.</w:t>
      </w:r>
    </w:p>
    <w:p w14:paraId="41603393" w14:textId="77777777" w:rsidR="00C55ADF" w:rsidRPr="00462983" w:rsidRDefault="00E3614F" w:rsidP="00B24FAA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For 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the case of Single DCI,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</w:p>
    <w:p w14:paraId="308A8230" w14:textId="77777777" w:rsidR="008C1ED6" w:rsidRPr="00462983" w:rsidRDefault="00E3614F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the same command triggers dual TCI state switching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.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A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dditional uncertainty time should be considered based on</w:t>
      </w:r>
      <w:r w:rsidR="00BC14B2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the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legacy</w:t>
      </w:r>
      <w:r w:rsidR="00BC14B2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single 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TCI state switching delay.</w:t>
      </w:r>
      <w:r w:rsidR="00BC14B2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</w:p>
    <w:p w14:paraId="4054E5A2" w14:textId="5C75B5EF" w:rsidR="00BC14B2" w:rsidRPr="00462983" w:rsidRDefault="008C1ED6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FFS the need of dual TCI states known, or unknown</w:t>
      </w:r>
    </w:p>
    <w:p w14:paraId="658F2007" w14:textId="77777777" w:rsidR="00C55ADF" w:rsidRPr="00462983" w:rsidRDefault="00C55ADF" w:rsidP="00B24FAA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</w:rPr>
        <w:t xml:space="preserve">For each of the two TCI states, the TCI state switch is assumed to be independent, and each of the TCI state can be known or unknown. </w:t>
      </w:r>
      <w:r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The delay requirements for known and unknown TCI state should be treated separately. </w:t>
      </w:r>
    </w:p>
    <w:p w14:paraId="3C21ACDB" w14:textId="02A4DD46" w:rsidR="00E3614F" w:rsidRPr="00462983" w:rsidRDefault="00C55ADF" w:rsidP="00B24FAA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Besides, </w:t>
      </w:r>
      <w:r w:rsidRPr="00462983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RAN4 agreed not to define additional TCI state switching delay for cross-panel TCI state switching. If RF session achieves a new conclusion on panels ON/OFF switch time, RRM session may revisit the issue if required. </w:t>
      </w:r>
    </w:p>
    <w:p w14:paraId="13CF2602" w14:textId="583B2FC9" w:rsidR="00BC14B2" w:rsidRPr="00462983" w:rsidRDefault="00BC14B2" w:rsidP="000F4523">
      <w:pPr>
        <w:spacing w:beforeLines="50" w:before="120" w:after="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bookmarkStart w:id="2" w:name="_Ref118730774"/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FB3CE2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2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:</w:t>
      </w:r>
      <w:r w:rsidR="00FB3CE2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Agree on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the following principles for defining dual TCI state switch delay requirements:</w:t>
      </w:r>
      <w:bookmarkEnd w:id="2"/>
    </w:p>
    <w:p w14:paraId="03781AD2" w14:textId="77777777" w:rsidR="00C55ADF" w:rsidRPr="00462983" w:rsidRDefault="00C55ADF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For the case of Multiple DCI,</w:t>
      </w:r>
    </w:p>
    <w:p w14:paraId="3AFE82D0" w14:textId="77777777" w:rsidR="008C1ED6" w:rsidRPr="00462983" w:rsidRDefault="00C55ADF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each TCI state is changed by independent procedure with different triggering commands. Legacy requirements for each TCI state switching delay can be reused. </w:t>
      </w:r>
    </w:p>
    <w:p w14:paraId="31A9A303" w14:textId="465160E1" w:rsidR="00C55ADF" w:rsidRPr="00462983" w:rsidRDefault="00FB3CE2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delay requirements for known and unknown TCI state should be treated separately.</w:t>
      </w:r>
    </w:p>
    <w:p w14:paraId="53DF70D2" w14:textId="77777777" w:rsidR="00C55ADF" w:rsidRPr="00462983" w:rsidRDefault="00C55ADF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For the case of Single DCI, </w:t>
      </w:r>
    </w:p>
    <w:p w14:paraId="7AC31364" w14:textId="77777777" w:rsidR="008C1ED6" w:rsidRPr="00462983" w:rsidRDefault="00C55ADF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same command triggers dual TCI state switching. Additional uncertainty time should be considered based on the legacy single TCI state switching delay.</w:t>
      </w:r>
    </w:p>
    <w:p w14:paraId="3DF8141C" w14:textId="28CBE781" w:rsidR="00C55ADF" w:rsidRPr="0046298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FFS the need of dual TCI states known, or unknown</w:t>
      </w:r>
    </w:p>
    <w:p w14:paraId="44D63244" w14:textId="27AB9058" w:rsidR="007D20D2" w:rsidRPr="00B24FAA" w:rsidRDefault="007D20D2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3</w:t>
      </w:r>
      <w:r w:rsidRPr="00B24FAA">
        <w:rPr>
          <w:rFonts w:ascii="Times New Roman" w:hAnsi="Times New Roman"/>
        </w:rPr>
        <w:tab/>
        <w:t>Conclusion</w:t>
      </w:r>
    </w:p>
    <w:p w14:paraId="4C7C115F" w14:textId="77777777" w:rsidR="00462983" w:rsidRPr="00462983" w:rsidRDefault="00462983" w:rsidP="00462983">
      <w:p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1: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Specify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Pr="00462983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simultaneous 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dual TCI states switching firstly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(e.g., dual TCI to dual TCI). FFS the transition of two TCI states and one TCI state.</w:t>
      </w:r>
    </w:p>
    <w:p w14:paraId="4A1E8347" w14:textId="77777777" w:rsidR="008C1ED6" w:rsidRPr="000F4523" w:rsidRDefault="008C1ED6" w:rsidP="000F4523">
      <w:pPr>
        <w:spacing w:beforeLines="50" w:before="120" w:after="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 2: Agree on the following principles for defining dual TCI state switch delay requirements:</w:t>
      </w:r>
    </w:p>
    <w:p w14:paraId="0F9F22F2" w14:textId="77777777" w:rsidR="008C1ED6" w:rsidRPr="000F4523" w:rsidRDefault="008C1ED6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For the case of Multiple DCI,</w:t>
      </w:r>
    </w:p>
    <w:p w14:paraId="670C63D2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each TCI state is changed by independent procedure with different triggering commands. Legacy requirements for each TCI state switching delay can be reused. </w:t>
      </w:r>
    </w:p>
    <w:p w14:paraId="615E5B2F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delay requirements for known and unknown TCI state should be treated separately.</w:t>
      </w:r>
    </w:p>
    <w:p w14:paraId="7BDD097D" w14:textId="77777777" w:rsidR="008C1ED6" w:rsidRPr="000F4523" w:rsidRDefault="008C1ED6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For the case of Single DCI, </w:t>
      </w:r>
    </w:p>
    <w:p w14:paraId="69C2046E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same command triggers dual TCI state switching. Additional uncertainty time should be considered based on the legacy single TCI state switching delay.</w:t>
      </w:r>
    </w:p>
    <w:p w14:paraId="5330F243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FFS the need of dual TCI states known, or unknown</w:t>
      </w:r>
    </w:p>
    <w:p w14:paraId="69FA4E29" w14:textId="1F085021" w:rsidR="007D20D2" w:rsidRPr="00B24FAA" w:rsidRDefault="007D20D2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4</w:t>
      </w:r>
      <w:r w:rsidRPr="00B24FAA">
        <w:rPr>
          <w:rFonts w:ascii="Times New Roman" w:hAnsi="Times New Roman"/>
        </w:rPr>
        <w:tab/>
        <w:t>Reference</w:t>
      </w:r>
    </w:p>
    <w:p w14:paraId="3A1EDDBD" w14:textId="58BA923B" w:rsidR="00BC4E2A" w:rsidRPr="00462983" w:rsidRDefault="00DF091D" w:rsidP="00DF091D">
      <w:pPr>
        <w:ind w:left="210" w:hangingChars="100" w:hanging="210"/>
        <w:jc w:val="both"/>
        <w:rPr>
          <w:rFonts w:ascii="Times New Roman" w:eastAsiaTheme="minorEastAsia" w:hAnsi="Times New Roman" w:cs="Times New Roman"/>
          <w:sz w:val="21"/>
          <w:lang w:eastAsia="zh-CN"/>
        </w:rPr>
      </w:pPr>
      <w:r w:rsidRPr="00462983">
        <w:rPr>
          <w:rFonts w:ascii="Times New Roman" w:eastAsiaTheme="minorEastAsia" w:hAnsi="Times New Roman" w:cs="Times New Roman" w:hint="eastAsia"/>
          <w:sz w:val="21"/>
          <w:lang w:eastAsia="zh-CN"/>
        </w:rPr>
        <w:t>[</w:t>
      </w:r>
      <w:r w:rsidRPr="00462983">
        <w:rPr>
          <w:rFonts w:ascii="Times New Roman" w:eastAsiaTheme="minorEastAsia" w:hAnsi="Times New Roman" w:cs="Times New Roman"/>
          <w:sz w:val="21"/>
          <w:lang w:eastAsia="zh-CN"/>
        </w:rPr>
        <w:t>1]</w:t>
      </w:r>
      <w:r w:rsidRPr="00462983">
        <w:rPr>
          <w:sz w:val="21"/>
        </w:rPr>
        <w:t xml:space="preserve"> </w:t>
      </w:r>
      <w:r w:rsidRPr="00462983">
        <w:rPr>
          <w:rFonts w:ascii="Times New Roman" w:eastAsiaTheme="minorEastAsia" w:hAnsi="Times New Roman" w:cs="Times New Roman"/>
          <w:sz w:val="21"/>
          <w:lang w:eastAsia="zh-CN"/>
        </w:rPr>
        <w:t>R4-2303317, WF on NR FR2 multi-Rx chain DL reception – Part 2, Qualcomm</w:t>
      </w:r>
    </w:p>
    <w:sectPr w:rsidR="00BC4E2A" w:rsidRPr="00462983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83A5C" w14:textId="77777777" w:rsidR="006A4BB3" w:rsidRDefault="006A4BB3" w:rsidP="00973137">
      <w:pPr>
        <w:spacing w:after="0" w:line="240" w:lineRule="auto"/>
      </w:pPr>
      <w:r>
        <w:separator/>
      </w:r>
    </w:p>
  </w:endnote>
  <w:endnote w:type="continuationSeparator" w:id="0">
    <w:p w14:paraId="597E2E45" w14:textId="77777777" w:rsidR="006A4BB3" w:rsidRDefault="006A4BB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52267" w14:textId="77777777" w:rsidR="006A4BB3" w:rsidRDefault="006A4BB3" w:rsidP="00973137">
      <w:pPr>
        <w:spacing w:after="0" w:line="240" w:lineRule="auto"/>
      </w:pPr>
      <w:r>
        <w:separator/>
      </w:r>
    </w:p>
  </w:footnote>
  <w:footnote w:type="continuationSeparator" w:id="0">
    <w:p w14:paraId="01CD5A9A" w14:textId="77777777" w:rsidR="006A4BB3" w:rsidRDefault="006A4BB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125E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324A61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511F3"/>
    <w:multiLevelType w:val="hybridMultilevel"/>
    <w:tmpl w:val="7B68D9E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D92FF3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3A2C52"/>
    <w:multiLevelType w:val="hybridMultilevel"/>
    <w:tmpl w:val="F1E0D17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A46647"/>
    <w:multiLevelType w:val="multilevel"/>
    <w:tmpl w:val="53F2C73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3EFA3B15"/>
    <w:multiLevelType w:val="hybridMultilevel"/>
    <w:tmpl w:val="204666C2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05335"/>
    <w:multiLevelType w:val="hybridMultilevel"/>
    <w:tmpl w:val="85D47F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9B12A6"/>
    <w:multiLevelType w:val="hybridMultilevel"/>
    <w:tmpl w:val="3280D78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26"/>
  </w:num>
  <w:num w:numId="7">
    <w:abstractNumId w:val="2"/>
  </w:num>
  <w:num w:numId="8">
    <w:abstractNumId w:val="31"/>
  </w:num>
  <w:num w:numId="9">
    <w:abstractNumId w:val="20"/>
  </w:num>
  <w:num w:numId="10">
    <w:abstractNumId w:val="16"/>
  </w:num>
  <w:num w:numId="11">
    <w:abstractNumId w:val="21"/>
  </w:num>
  <w:num w:numId="12">
    <w:abstractNumId w:val="22"/>
  </w:num>
  <w:num w:numId="13">
    <w:abstractNumId w:val="6"/>
  </w:num>
  <w:num w:numId="14">
    <w:abstractNumId w:val="4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7"/>
  </w:num>
  <w:num w:numId="18">
    <w:abstractNumId w:val="19"/>
  </w:num>
  <w:num w:numId="19">
    <w:abstractNumId w:val="17"/>
  </w:num>
  <w:num w:numId="20">
    <w:abstractNumId w:val="8"/>
  </w:num>
  <w:num w:numId="21">
    <w:abstractNumId w:val="3"/>
  </w:num>
  <w:num w:numId="22">
    <w:abstractNumId w:val="25"/>
  </w:num>
  <w:num w:numId="23">
    <w:abstractNumId w:val="1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0"/>
  </w:num>
  <w:num w:numId="30">
    <w:abstractNumId w:val="14"/>
  </w:num>
  <w:num w:numId="31">
    <w:abstractNumId w:val="23"/>
  </w:num>
  <w:num w:numId="32">
    <w:abstractNumId w:val="28"/>
  </w:num>
  <w:num w:numId="33">
    <w:abstractNumId w:val="9"/>
  </w:num>
  <w:num w:numId="34">
    <w:abstractNumId w:val="1"/>
  </w:num>
  <w:num w:numId="35">
    <w:abstractNumId w:val="0"/>
  </w:num>
  <w:num w:numId="36">
    <w:abstractNumId w:val="18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0702"/>
    <w:rsid w:val="00081AE6"/>
    <w:rsid w:val="000826F4"/>
    <w:rsid w:val="0008458F"/>
    <w:rsid w:val="00085016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95F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523"/>
    <w:rsid w:val="000F4ACC"/>
    <w:rsid w:val="000F6A48"/>
    <w:rsid w:val="000F6DF3"/>
    <w:rsid w:val="001002FD"/>
    <w:rsid w:val="001005FF"/>
    <w:rsid w:val="00104973"/>
    <w:rsid w:val="001052F0"/>
    <w:rsid w:val="001062FB"/>
    <w:rsid w:val="001063E6"/>
    <w:rsid w:val="001067D2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422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025F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67810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3E44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5E77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395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74DEB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D39"/>
    <w:rsid w:val="002B06A6"/>
    <w:rsid w:val="002B24D6"/>
    <w:rsid w:val="002B3021"/>
    <w:rsid w:val="002B42DC"/>
    <w:rsid w:val="002B54AD"/>
    <w:rsid w:val="002B57F1"/>
    <w:rsid w:val="002B654E"/>
    <w:rsid w:val="002B6E77"/>
    <w:rsid w:val="002B742D"/>
    <w:rsid w:val="002C27A4"/>
    <w:rsid w:val="002C2F52"/>
    <w:rsid w:val="002C3D5F"/>
    <w:rsid w:val="002C4090"/>
    <w:rsid w:val="002C41E6"/>
    <w:rsid w:val="002C6191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2C88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5835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071F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09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88F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135E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2983"/>
    <w:rsid w:val="0046446A"/>
    <w:rsid w:val="00464689"/>
    <w:rsid w:val="00466439"/>
    <w:rsid w:val="0046685E"/>
    <w:rsid w:val="004669E2"/>
    <w:rsid w:val="00467C4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970F4"/>
    <w:rsid w:val="004A16BC"/>
    <w:rsid w:val="004A2B94"/>
    <w:rsid w:val="004A4B05"/>
    <w:rsid w:val="004A5ECC"/>
    <w:rsid w:val="004B08A1"/>
    <w:rsid w:val="004B2182"/>
    <w:rsid w:val="004B27D8"/>
    <w:rsid w:val="004B28A4"/>
    <w:rsid w:val="004B54B0"/>
    <w:rsid w:val="004B6F6A"/>
    <w:rsid w:val="004B7C0C"/>
    <w:rsid w:val="004C09EA"/>
    <w:rsid w:val="004C3898"/>
    <w:rsid w:val="004C5315"/>
    <w:rsid w:val="004C5E29"/>
    <w:rsid w:val="004C6BC9"/>
    <w:rsid w:val="004D0765"/>
    <w:rsid w:val="004D0E5F"/>
    <w:rsid w:val="004D176B"/>
    <w:rsid w:val="004D36B1"/>
    <w:rsid w:val="004D3C14"/>
    <w:rsid w:val="004D7EBD"/>
    <w:rsid w:val="004E2680"/>
    <w:rsid w:val="004E28F9"/>
    <w:rsid w:val="004E2C6E"/>
    <w:rsid w:val="004E382C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5DD7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3098"/>
    <w:rsid w:val="005153A7"/>
    <w:rsid w:val="005219CF"/>
    <w:rsid w:val="00522636"/>
    <w:rsid w:val="00522C43"/>
    <w:rsid w:val="0052579A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036"/>
    <w:rsid w:val="00571466"/>
    <w:rsid w:val="00572505"/>
    <w:rsid w:val="0057607D"/>
    <w:rsid w:val="00582153"/>
    <w:rsid w:val="00582809"/>
    <w:rsid w:val="00582C26"/>
    <w:rsid w:val="00584F09"/>
    <w:rsid w:val="0058664B"/>
    <w:rsid w:val="005875AA"/>
    <w:rsid w:val="0058798C"/>
    <w:rsid w:val="005900FA"/>
    <w:rsid w:val="00592D70"/>
    <w:rsid w:val="005935A4"/>
    <w:rsid w:val="005948C2"/>
    <w:rsid w:val="00595C59"/>
    <w:rsid w:val="00595DCA"/>
    <w:rsid w:val="0059779B"/>
    <w:rsid w:val="005A1138"/>
    <w:rsid w:val="005A114D"/>
    <w:rsid w:val="005A1A54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4C1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76E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7F22"/>
    <w:rsid w:val="00690A5B"/>
    <w:rsid w:val="00691026"/>
    <w:rsid w:val="006910D9"/>
    <w:rsid w:val="00693A32"/>
    <w:rsid w:val="00694572"/>
    <w:rsid w:val="00695FC2"/>
    <w:rsid w:val="00696949"/>
    <w:rsid w:val="00697052"/>
    <w:rsid w:val="006A0848"/>
    <w:rsid w:val="006A46FB"/>
    <w:rsid w:val="006A4BB3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2CBB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22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38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1739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4D62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83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1ED6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0F46"/>
    <w:rsid w:val="008F1C4E"/>
    <w:rsid w:val="008F1EAB"/>
    <w:rsid w:val="008F272C"/>
    <w:rsid w:val="008F33DC"/>
    <w:rsid w:val="008F3874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486"/>
    <w:rsid w:val="00941636"/>
    <w:rsid w:val="009419D0"/>
    <w:rsid w:val="0094291B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454"/>
    <w:rsid w:val="0096094D"/>
    <w:rsid w:val="00960AF4"/>
    <w:rsid w:val="00961921"/>
    <w:rsid w:val="00961A85"/>
    <w:rsid w:val="00961BB2"/>
    <w:rsid w:val="00961EF3"/>
    <w:rsid w:val="00962B77"/>
    <w:rsid w:val="009632C2"/>
    <w:rsid w:val="0096430A"/>
    <w:rsid w:val="00964819"/>
    <w:rsid w:val="00964B6C"/>
    <w:rsid w:val="0096554B"/>
    <w:rsid w:val="0096584A"/>
    <w:rsid w:val="009706D6"/>
    <w:rsid w:val="00971F08"/>
    <w:rsid w:val="00973137"/>
    <w:rsid w:val="00973B40"/>
    <w:rsid w:val="0097603D"/>
    <w:rsid w:val="00976949"/>
    <w:rsid w:val="00980477"/>
    <w:rsid w:val="00980A5A"/>
    <w:rsid w:val="00981767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25DF"/>
    <w:rsid w:val="0099488B"/>
    <w:rsid w:val="00994DCA"/>
    <w:rsid w:val="00995AE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6AA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5569"/>
    <w:rsid w:val="009C687B"/>
    <w:rsid w:val="009C7060"/>
    <w:rsid w:val="009D1AED"/>
    <w:rsid w:val="009D3E49"/>
    <w:rsid w:val="009D4FF0"/>
    <w:rsid w:val="009D534B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7B2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BCB"/>
    <w:rsid w:val="00A13E54"/>
    <w:rsid w:val="00A1525D"/>
    <w:rsid w:val="00A164BA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1A54"/>
    <w:rsid w:val="00A62A77"/>
    <w:rsid w:val="00A63483"/>
    <w:rsid w:val="00A63D08"/>
    <w:rsid w:val="00A63F79"/>
    <w:rsid w:val="00A64E7F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3A6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4FAA"/>
    <w:rsid w:val="00B25BE9"/>
    <w:rsid w:val="00B2704A"/>
    <w:rsid w:val="00B2763F"/>
    <w:rsid w:val="00B27AAC"/>
    <w:rsid w:val="00B30929"/>
    <w:rsid w:val="00B34034"/>
    <w:rsid w:val="00B34291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7699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B608C"/>
    <w:rsid w:val="00BC0FDC"/>
    <w:rsid w:val="00BC14B2"/>
    <w:rsid w:val="00BC1B04"/>
    <w:rsid w:val="00BC3053"/>
    <w:rsid w:val="00BC3EEB"/>
    <w:rsid w:val="00BC4D2E"/>
    <w:rsid w:val="00BC4E2A"/>
    <w:rsid w:val="00BC6438"/>
    <w:rsid w:val="00BC7486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5B41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6F7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06D5"/>
    <w:rsid w:val="00C51B4C"/>
    <w:rsid w:val="00C54995"/>
    <w:rsid w:val="00C54D41"/>
    <w:rsid w:val="00C557D1"/>
    <w:rsid w:val="00C55ADB"/>
    <w:rsid w:val="00C55ADF"/>
    <w:rsid w:val="00C60783"/>
    <w:rsid w:val="00C635DB"/>
    <w:rsid w:val="00C64672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1328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298E"/>
    <w:rsid w:val="00CB3176"/>
    <w:rsid w:val="00CB5684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6ED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33B8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91D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614F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011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82D"/>
    <w:rsid w:val="00F010C6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38B9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54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45A"/>
    <w:rsid w:val="00F76EFA"/>
    <w:rsid w:val="00F77774"/>
    <w:rsid w:val="00F804BE"/>
    <w:rsid w:val="00F817CE"/>
    <w:rsid w:val="00F81A80"/>
    <w:rsid w:val="00F8249C"/>
    <w:rsid w:val="00F8361B"/>
    <w:rsid w:val="00F8456C"/>
    <w:rsid w:val="00F859D8"/>
    <w:rsid w:val="00F868F5"/>
    <w:rsid w:val="00F87DF4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A5F30"/>
    <w:rsid w:val="00FB3CE2"/>
    <w:rsid w:val="00FB3CF9"/>
    <w:rsid w:val="00FB4C80"/>
    <w:rsid w:val="00FB6A6A"/>
    <w:rsid w:val="00FC7429"/>
    <w:rsid w:val="00FC745E"/>
    <w:rsid w:val="00FD07F6"/>
    <w:rsid w:val="00FD16A9"/>
    <w:rsid w:val="00FD1B05"/>
    <w:rsid w:val="00FD1CAD"/>
    <w:rsid w:val="00FD1D0D"/>
    <w:rsid w:val="00FD1EB4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6E00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693A32"/>
    <w:pPr>
      <w:numPr>
        <w:numId w:val="10"/>
      </w:numPr>
      <w:tabs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13">
    <w:name w:val="列表段落 字符1"/>
    <w:aliases w:val="R4_bullets 字符1,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sid w:val="00CB29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0A9831-8676-4D22-AD17-EDF12CEE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727</Words>
  <Characters>4150</Characters>
  <Application>Microsoft Office Word</Application>
  <DocSecurity>0</DocSecurity>
  <Lines>34</Lines>
  <Paragraphs>9</Paragraphs>
  <ScaleCrop>false</ScaleCrop>
  <Company>Ericsson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13</cp:revision>
  <cp:lastPrinted>2008-01-31T07:09:00Z</cp:lastPrinted>
  <dcterms:created xsi:type="dcterms:W3CDTF">2023-02-17T08:18:00Z</dcterms:created>
  <dcterms:modified xsi:type="dcterms:W3CDTF">2023-04-10T11:13:00Z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